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26" w:rsidRDefault="00B84641" w:rsidP="00B84641">
      <w:pPr>
        <w:pStyle w:val="20"/>
        <w:shd w:val="clear" w:color="auto" w:fill="auto"/>
        <w:ind w:right="340"/>
        <w:jc w:val="center"/>
      </w:pPr>
      <w:r>
        <w:t>ДОГОВОР № 000000/</w:t>
      </w:r>
      <w:r w:rsidR="00D33458">
        <w:t>ПЦН об охране объектов</w:t>
      </w:r>
    </w:p>
    <w:p w:rsidR="00575934" w:rsidRDefault="00575934" w:rsidP="00575934">
      <w:pPr>
        <w:pStyle w:val="20"/>
        <w:shd w:val="clear" w:color="auto" w:fill="auto"/>
        <w:ind w:right="340"/>
        <w:jc w:val="left"/>
      </w:pPr>
    </w:p>
    <w:p w:rsidR="00575934" w:rsidRDefault="00575934" w:rsidP="00575934">
      <w:pPr>
        <w:pStyle w:val="20"/>
        <w:shd w:val="clear" w:color="auto" w:fill="auto"/>
        <w:ind w:right="340"/>
        <w:jc w:val="left"/>
        <w:sectPr w:rsidR="00575934">
          <w:type w:val="continuous"/>
          <w:pgSz w:w="11909" w:h="16838"/>
          <w:pgMar w:top="467" w:right="4697" w:bottom="448" w:left="4831" w:header="0" w:footer="3" w:gutter="0"/>
          <w:cols w:space="720"/>
          <w:noEndnote/>
          <w:docGrid w:linePitch="360"/>
        </w:sectPr>
      </w:pPr>
    </w:p>
    <w:p w:rsidR="00521726" w:rsidRDefault="00521726">
      <w:pPr>
        <w:rPr>
          <w:sz w:val="2"/>
          <w:szCs w:val="2"/>
        </w:rPr>
        <w:sectPr w:rsidR="0052172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5934" w:rsidRDefault="00575934" w:rsidP="00C76AC0">
      <w:pPr>
        <w:pStyle w:val="20"/>
        <w:shd w:val="clear" w:color="auto" w:fill="auto"/>
        <w:tabs>
          <w:tab w:val="left" w:leader="underscore" w:pos="1239"/>
        </w:tabs>
        <w:spacing w:after="142" w:line="160" w:lineRule="exact"/>
        <w:ind w:left="20"/>
        <w:jc w:val="left"/>
      </w:pPr>
      <w:r>
        <w:t>01 января 20__г.                                                                                                                                                                  г. Новосибирск</w:t>
      </w:r>
    </w:p>
    <w:p w:rsidR="00575934" w:rsidRDefault="00575934" w:rsidP="00C76AC0">
      <w:pPr>
        <w:pStyle w:val="20"/>
        <w:shd w:val="clear" w:color="auto" w:fill="auto"/>
        <w:tabs>
          <w:tab w:val="left" w:leader="underscore" w:pos="1239"/>
        </w:tabs>
        <w:spacing w:after="142" w:line="160" w:lineRule="exact"/>
        <w:ind w:left="20"/>
        <w:jc w:val="left"/>
      </w:pPr>
    </w:p>
    <w:p w:rsidR="00B84641" w:rsidRPr="00C76AC0" w:rsidRDefault="00B84641" w:rsidP="00C76AC0">
      <w:pPr>
        <w:pStyle w:val="20"/>
        <w:shd w:val="clear" w:color="auto" w:fill="auto"/>
        <w:tabs>
          <w:tab w:val="left" w:leader="underscore" w:pos="1239"/>
        </w:tabs>
        <w:spacing w:after="142" w:line="160" w:lineRule="exact"/>
        <w:ind w:left="20"/>
        <w:jc w:val="left"/>
      </w:pPr>
      <w:r w:rsidRPr="00B84641">
        <w:rPr>
          <w:b w:val="0"/>
          <w:bCs w:val="0"/>
          <w:sz w:val="14"/>
          <w:szCs w:val="14"/>
        </w:rPr>
        <w:t>ООО ППО "СЕРЖ" г.</w:t>
      </w:r>
      <w:r>
        <w:rPr>
          <w:b w:val="0"/>
          <w:bCs w:val="0"/>
          <w:sz w:val="14"/>
          <w:szCs w:val="14"/>
        </w:rPr>
        <w:t xml:space="preserve"> </w:t>
      </w:r>
      <w:r w:rsidR="00D33458" w:rsidRPr="00B84641">
        <w:rPr>
          <w:b w:val="0"/>
          <w:bCs w:val="0"/>
          <w:sz w:val="14"/>
          <w:szCs w:val="14"/>
        </w:rPr>
        <w:t>Новосибирск,</w:t>
      </w:r>
      <w:r w:rsidRPr="00B84641">
        <w:rPr>
          <w:b w:val="0"/>
          <w:bCs w:val="0"/>
          <w:sz w:val="14"/>
          <w:szCs w:val="14"/>
        </w:rPr>
        <w:t xml:space="preserve"> № 060 от 27.12.2010 г. выдана ГУ МВД РФ по НСО именуемое в дальнейшем ИСПОЛНИТЕЛЬ, в лице директора Шаталова С.Г., действующего на основании Ус</w:t>
      </w:r>
      <w:r>
        <w:rPr>
          <w:b w:val="0"/>
          <w:bCs w:val="0"/>
          <w:sz w:val="14"/>
          <w:szCs w:val="14"/>
        </w:rPr>
        <w:t>тава, с одной стороны, и ________________</w:t>
      </w:r>
      <w:r w:rsidRPr="00B84641">
        <w:rPr>
          <w:b w:val="0"/>
          <w:bCs w:val="0"/>
          <w:sz w:val="14"/>
          <w:szCs w:val="14"/>
        </w:rPr>
        <w:t>, именуемое в дальнейшем ЗАКАЗЧИК</w:t>
      </w:r>
      <w:r w:rsidR="00D33458">
        <w:rPr>
          <w:b w:val="0"/>
          <w:bCs w:val="0"/>
          <w:sz w:val="14"/>
          <w:szCs w:val="14"/>
        </w:rPr>
        <w:t>,</w:t>
      </w:r>
      <w:r w:rsidRPr="00B84641">
        <w:rPr>
          <w:b w:val="0"/>
          <w:bCs w:val="0"/>
          <w:sz w:val="14"/>
          <w:szCs w:val="14"/>
        </w:rPr>
        <w:t xml:space="preserve"> в </w:t>
      </w:r>
      <w:r w:rsidR="00D33458" w:rsidRPr="00B84641">
        <w:rPr>
          <w:b w:val="0"/>
          <w:bCs w:val="0"/>
          <w:sz w:val="14"/>
          <w:szCs w:val="14"/>
        </w:rPr>
        <w:t>лице директора</w:t>
      </w:r>
      <w:r w:rsidR="00D33458">
        <w:rPr>
          <w:b w:val="0"/>
          <w:bCs w:val="0"/>
          <w:sz w:val="14"/>
          <w:szCs w:val="14"/>
        </w:rPr>
        <w:t xml:space="preserve"> ___________________, </w:t>
      </w:r>
      <w:r w:rsidRPr="00B84641">
        <w:rPr>
          <w:b w:val="0"/>
          <w:bCs w:val="0"/>
          <w:sz w:val="14"/>
          <w:szCs w:val="14"/>
        </w:rPr>
        <w:t>действующего на основании устава с другой стороны заключили настоящий договор о нижеследующем</w:t>
      </w:r>
      <w:r>
        <w:rPr>
          <w:b w:val="0"/>
          <w:bCs w:val="0"/>
          <w:sz w:val="14"/>
          <w:szCs w:val="14"/>
        </w:rPr>
        <w:t>:</w:t>
      </w:r>
      <w:r w:rsidRPr="00B84641">
        <w:rPr>
          <w:b w:val="0"/>
          <w:bCs w:val="0"/>
          <w:sz w:val="14"/>
          <w:szCs w:val="14"/>
        </w:rPr>
        <w:t xml:space="preserve"> </w:t>
      </w:r>
    </w:p>
    <w:p w:rsidR="00521726" w:rsidRDefault="00575934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exact"/>
        <w:ind w:left="20"/>
        <w:jc w:val="center"/>
      </w:pPr>
      <w:r>
        <w:t>ПРЕДМЕТ ДОГОВОРА</w:t>
      </w:r>
    </w:p>
    <w:p w:rsidR="00521726" w:rsidRDefault="00D33458">
      <w:pPr>
        <w:pStyle w:val="1"/>
        <w:numPr>
          <w:ilvl w:val="1"/>
          <w:numId w:val="1"/>
        </w:numPr>
        <w:shd w:val="clear" w:color="auto" w:fill="auto"/>
        <w:tabs>
          <w:tab w:val="left" w:pos="270"/>
        </w:tabs>
        <w:spacing w:before="0" w:line="240" w:lineRule="exact"/>
        <w:ind w:left="20" w:right="640"/>
      </w:pPr>
      <w:r>
        <w:t>ЗАКАЗЧИК передает, а ИСПОЛНИТЕЛЬ принимает под охрану объекты, указанные в Приложении № 1. По соглашению сторон устанавливается следующий вид охраны: с помощью пульта централизованного наблюдения.</w:t>
      </w:r>
    </w:p>
    <w:p w:rsidR="00521726" w:rsidRDefault="00D33458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40" w:lineRule="exact"/>
        <w:ind w:left="20"/>
      </w:pPr>
      <w:r>
        <w:t>Объекты, передаваемые под охрану, должны отвечать следующим требованиям:</w:t>
      </w:r>
    </w:p>
    <w:p w:rsidR="00521726" w:rsidRDefault="00D33458">
      <w:pPr>
        <w:pStyle w:val="1"/>
        <w:numPr>
          <w:ilvl w:val="0"/>
          <w:numId w:val="3"/>
        </w:numPr>
        <w:shd w:val="clear" w:color="auto" w:fill="auto"/>
        <w:tabs>
          <w:tab w:val="left" w:pos="399"/>
        </w:tabs>
        <w:spacing w:before="0" w:line="240" w:lineRule="exact"/>
        <w:ind w:left="20" w:right="320"/>
      </w:pPr>
      <w:r>
        <w:t>Ограждение территории, а также стены, крыши, потолки, чердачные слуховые окна, люки, витрины и двери помещений, в которых хранятся материальные ценности, должны находиться в исправном состоянии и отвечать требованиям, предъявленным ИСПОЛНИТЕЛЕМ. На остекленных и дверных проемах, внутренних, смежных стенах и перегородках изнутри помещений устанавливаются металлические решетки и металлические решетчатые двери, тип которых согласовывается ЗАКАЗЧИКОМ с ИСПОЛНИТЕЛЕМ, согласно акту обследования объекта, для приема его под охрану, который является его неотъемлемой частью.</w:t>
      </w:r>
    </w:p>
    <w:p w:rsidR="00521726" w:rsidRDefault="00D33458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before="0" w:line="240" w:lineRule="exact"/>
        <w:ind w:left="20" w:right="320"/>
      </w:pPr>
      <w:r>
        <w:t>Объекты должны быть оборудованы техническими средствами охраны, а также средствами пожаротушения в соответствии с требованиями МЧС.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 w:right="320"/>
      </w:pPr>
      <w:r>
        <w:t>На объектах должен быть обеспечен свободный доступ ИСПОЛНИТЕЛЯ к установленным и смонтированным приборам и шлейфам охранно-пожарной сигнализации (ОПС), а также средствам пожаротушения. Техническое состояние принимаемых под охрану объектов, средств охраны и пожаротушения, потребность в этих средствах, а также сроки их внедрения указываются в двухсторонних актах, составляемых перед заключением договора и при периодических обследованиях.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 w:right="320"/>
      </w:pPr>
      <w:r>
        <w:t>Указания ИСПОЛНИТЕЛЯ по соблюдению установленного режима охраны, внедрению и содержанию технических средств охраны, являются обязательными для ЗАКАЗЧИКА.</w:t>
      </w:r>
      <w:r w:rsidR="00B84641">
        <w:t xml:space="preserve"> </w:t>
      </w:r>
      <w:r>
        <w:t>Оборудование объектов техническими средствами охраны и их ремонт осуществляется за счет средств ЗАКАЗЧИКА.</w:t>
      </w:r>
    </w:p>
    <w:p w:rsidR="00521726" w:rsidRDefault="00D33458">
      <w:pPr>
        <w:pStyle w:val="1"/>
        <w:numPr>
          <w:ilvl w:val="0"/>
          <w:numId w:val="3"/>
        </w:numPr>
        <w:shd w:val="clear" w:color="auto" w:fill="auto"/>
        <w:tabs>
          <w:tab w:val="left" w:pos="399"/>
        </w:tabs>
        <w:spacing w:before="0" w:line="240" w:lineRule="exact"/>
        <w:ind w:left="20" w:right="320"/>
      </w:pPr>
      <w:r>
        <w:t>Территория по периметру предприятия, производственные цеха, склады, базы, строительные площадки и подступы к ним, а также витрины и окна магазинов, ателье и иных охраняемых помещений с наступлением темноты должны освещаться так, чтобы они были доступны наблюдению ГБР ИСПОЛНИТЕЛЕМ.</w:t>
      </w:r>
      <w:r w:rsidR="00B84641">
        <w:t xml:space="preserve"> </w:t>
      </w:r>
      <w:r>
        <w:t>Освещение территории, витрин и окон охраняемого объекта не производится в случаях особого положения. Складирование материальных ценностей внутри охраняемого объекта может производиться не ближе 1,5 метров от внутренних остекленных проемов помещений и 3 метров от ограждения территории.</w:t>
      </w:r>
    </w:p>
    <w:p w:rsidR="00521726" w:rsidRDefault="00D33458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line="240" w:lineRule="exact"/>
        <w:ind w:left="20" w:right="320"/>
      </w:pPr>
      <w:r>
        <w:t>Охрана объектов осуществляется в дни и часы, указанные в Приложении № 1 к договору. За охрану объектов сверх установленного договором времени оплата производится по фактическому времени охраны (составляется дополнительное с</w:t>
      </w:r>
      <w:r w:rsidR="00B84641">
        <w:t>оглашение либо двусторонний акт</w:t>
      </w:r>
      <w:r>
        <w:t>).</w:t>
      </w:r>
    </w:p>
    <w:p w:rsidR="00521726" w:rsidRDefault="00D33458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before="0" w:line="240" w:lineRule="exact"/>
        <w:ind w:left="20" w:right="320"/>
      </w:pPr>
      <w:r>
        <w:t>Ежедневный прием под охрану каждого объекта и сдача его ЗАКАЗЧИКУ производится в следующем порядке: при помощи индивидуального ключа, с обязательной перепроверкой с подтверждением факта о принятии под контроль пультом централизованного наблюдения. Охрана материальных ценностей, находящихся на охраняемой территории, но вне помещений, не производится.</w:t>
      </w:r>
    </w:p>
    <w:p w:rsidR="00B84641" w:rsidRDefault="00B84641" w:rsidP="00B84641">
      <w:pPr>
        <w:pStyle w:val="1"/>
        <w:shd w:val="clear" w:color="auto" w:fill="auto"/>
        <w:tabs>
          <w:tab w:val="left" w:pos="270"/>
        </w:tabs>
        <w:spacing w:before="0" w:line="240" w:lineRule="exact"/>
        <w:ind w:left="20" w:right="320"/>
      </w:pPr>
    </w:p>
    <w:p w:rsidR="00521726" w:rsidRDefault="00D33458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line="160" w:lineRule="exact"/>
        <w:ind w:left="120"/>
        <w:jc w:val="center"/>
      </w:pPr>
      <w:r>
        <w:t>ОБЯЗАННОСТИ ИСПОЛНИТЕЛЯ</w:t>
      </w:r>
    </w:p>
    <w:p w:rsidR="00521726" w:rsidRDefault="00D33458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before="0" w:line="240" w:lineRule="exact"/>
        <w:ind w:left="20"/>
      </w:pPr>
      <w:r>
        <w:t>ИСПОЛНИТЕЛЬ обязан:</w:t>
      </w:r>
    </w:p>
    <w:p w:rsidR="00521726" w:rsidRDefault="00D33458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exact"/>
        <w:ind w:left="20" w:right="320"/>
      </w:pPr>
      <w:r>
        <w:t>Организовать и обеспечить охрану материальных ценностей и имущества (кроме денежных средств) ЗАКАЗЧИКА, принятых под охрану, от кражи и уничтожения (повреждения), пресекать проникновения посторонних лиц на охраняемые объекты.</w:t>
      </w:r>
    </w:p>
    <w:p w:rsidR="00521726" w:rsidRDefault="00D33458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exact"/>
        <w:ind w:left="20" w:right="320"/>
      </w:pPr>
      <w:r>
        <w:t>Принять на эксплуатационное обслуживание средства ОС и устранять неисправности по заявлению ЗАКАЗЧИКА в технически возможный срок. Возмещение расходов по этому обслуживанию производится за счет средств ЗАКАЗЧИКА согласно Смет и Актов выполненных работ. Средства охранной сигнализации (ОС) принимаются на эксплуатационное обслуживание в исправном состоянии и должны отвечать всем требованиям, с максимальным сроком эксплуатации 5 лет.</w:t>
      </w:r>
    </w:p>
    <w:p w:rsidR="00521726" w:rsidRDefault="00D33458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exact"/>
        <w:ind w:left="20" w:right="320"/>
      </w:pPr>
      <w:r>
        <w:t>При срабатывании охранной сигнализации на объекте обеспечить прибытие ГБР на объект не позднее 6 минут, с момента поступления тревожной информации на ПЦН для выяснения причин срабатывания сигнализации и принятия соответствующих мер.</w:t>
      </w:r>
    </w:p>
    <w:p w:rsidR="00521726" w:rsidRDefault="00D33458">
      <w:pPr>
        <w:pStyle w:val="1"/>
        <w:numPr>
          <w:ilvl w:val="0"/>
          <w:numId w:val="6"/>
        </w:numPr>
        <w:shd w:val="clear" w:color="auto" w:fill="auto"/>
        <w:tabs>
          <w:tab w:val="left" w:pos="447"/>
        </w:tabs>
        <w:spacing w:before="0" w:line="240" w:lineRule="exact"/>
        <w:ind w:left="20" w:right="320"/>
      </w:pPr>
      <w:r>
        <w:t>При срабатывании средств ОПС, при необходимости, вызывать представителя ЗАКАЗЧИКА для выяснения причин срабатывания сигнализации, осмотра помещений и пересдачи объекта под охрану. Осуществлять охрану этого объекта до прибытия ЗАКАЗЧИКА и установления причины срабатывания сигнализации, но не более 2-х часов с момента его вызова. По истечении установленного времени осуществлять охрану за дополнительную плату (из расчета стоимости спаренного поста за каждый час охраны). По соглашению сторон доставлять представителя ЗАКАЗЧИКА на охраняемый объект и с объекта до места его жительства на транспорте ИСПОЛНИТЕЛЯ.</w:t>
      </w:r>
    </w:p>
    <w:p w:rsidR="00521726" w:rsidRDefault="00D33458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exact"/>
        <w:ind w:left="20" w:right="640"/>
        <w:jc w:val="both"/>
      </w:pPr>
      <w:r>
        <w:t>При наличии признаков проникновения на объект посторонних лиц, а также о факте причинения ущерба повреждением имущества сообщать ЗАКАЗЧИКУ. До прибытия, ответственных представителей ИСПОЛНИТЕЛЯ и ЗАКАЗЧИКА обеспечивать неприкосновенность места происшествия.</w:t>
      </w:r>
    </w:p>
    <w:p w:rsidR="00521726" w:rsidRDefault="00D33458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exact"/>
        <w:ind w:left="20" w:right="320"/>
      </w:pPr>
      <w:r>
        <w:t>При наличии заявления ЗАКАЗЧИКА о причиненном ущербе участвовать в определении размера ущерба и в снятии остатков материальных ценностей.</w:t>
      </w:r>
    </w:p>
    <w:p w:rsidR="00521726" w:rsidRDefault="00D33458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line="160" w:lineRule="exact"/>
        <w:ind w:left="120"/>
        <w:jc w:val="center"/>
      </w:pPr>
      <w:r>
        <w:t>ОБЯЗАННОСТИ ЗАКАЗЧИКА</w:t>
      </w:r>
    </w:p>
    <w:p w:rsidR="00521726" w:rsidRDefault="00D33458">
      <w:pPr>
        <w:pStyle w:val="1"/>
        <w:numPr>
          <w:ilvl w:val="1"/>
          <w:numId w:val="1"/>
        </w:numPr>
        <w:shd w:val="clear" w:color="auto" w:fill="auto"/>
        <w:tabs>
          <w:tab w:val="left" w:pos="265"/>
        </w:tabs>
        <w:spacing w:before="0" w:line="240" w:lineRule="exact"/>
        <w:ind w:left="20"/>
      </w:pPr>
      <w:r>
        <w:t>ЗАКАЗЧИК обязан: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04"/>
        </w:tabs>
        <w:spacing w:before="0" w:line="240" w:lineRule="exact"/>
        <w:ind w:left="20" w:right="320"/>
      </w:pPr>
      <w:r>
        <w:t>Осуществлять определенные договором и актом обследования мероприятия и предложения ИСПОЛНИТЕЛЯ по технической укрепленности объектов и оборудованию их средствами охраны в установленные актом сроки, создавать надлежащие условия для обеспечения сохранности материальных ценностей, содействовать ИСПОЛНИТЕЛЮ при выполнении им своих задач, а также в совершенствовании организации охраны объектов.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exact"/>
        <w:ind w:left="20"/>
      </w:pPr>
      <w:r>
        <w:t>Определить и приказом закрепить состав работников, ответственных за сдачу-снятие объектов с охраны, немедленно письменно</w:t>
      </w:r>
      <w:r>
        <w:br w:type="page"/>
      </w:r>
      <w:r>
        <w:lastRenderedPageBreak/>
        <w:t>информировать ИСПОЛНИТЕЛЯ обо всех происходящих изменениях по этому составу.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exact"/>
        <w:ind w:left="20" w:right="400"/>
      </w:pPr>
      <w:r>
        <w:t>Перед сдачей объекта под охрану проверять, чтобы в охраняемом помещении в нерабочее время не остались посторонние лица, включенные электрогазоприборы и другие источники огня.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4"/>
        </w:tabs>
        <w:spacing w:before="0" w:line="240" w:lineRule="exact"/>
        <w:ind w:left="20" w:right="400"/>
      </w:pPr>
      <w:r>
        <w:t>Закрывать окна, витрины, форточки, люки, наружные двери, а также внутренние двери, блокируемые охранной сигнализацией, на запорные устройства и замки. Запирать снаружи на навесные замки, помимо внутренних запоров, двери запасных ходов.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4"/>
        </w:tabs>
        <w:spacing w:before="0" w:line="240" w:lineRule="exact"/>
        <w:ind w:left="20" w:right="400"/>
      </w:pPr>
      <w:r>
        <w:t>Денежные средства, оружие и боеприпасы, наркотические средства и яды, предметы антиквариата, драгоценные металлы и камни, а также изделия из них, часы в золотых, платиновых и серебряных корпусах, мобильные телефоны хранить в несгораемых сейфах или металлических шкафах, прикрепленных к полу в обособленных и специально оборудованных техническими средствами охраны помещениях.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exact"/>
        <w:ind w:left="20"/>
      </w:pPr>
      <w:r>
        <w:t>Принимать меры к своевременному ремонту сети электропитания, к которым подключена сигнализация.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exact"/>
        <w:ind w:left="20" w:right="400"/>
      </w:pPr>
      <w:r>
        <w:t xml:space="preserve">По окончании рабочего дня на объекте осматривать охранно-пожарную сигнализацию на предмет отсутствия ее нарушений и в случае неисправности немедленно уведомить </w:t>
      </w:r>
      <w:r w:rsidR="00B84641">
        <w:t>ИСПОЛНИТЕЛЯ,</w:t>
      </w:r>
      <w:r>
        <w:t xml:space="preserve"> не покидать объект до устранения неисправности или передачи его ИСПОЛНИТЕЛЮ в установленном соглашением сторон порядке. Через 5 минут после сдачи объекта под охрану удостовериться в том, что объект на пульт принят.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exact"/>
        <w:ind w:left="20" w:right="400"/>
      </w:pPr>
      <w:r>
        <w:t>Ответственному за сдачу-снятие с охраны объекта прибывать в течение 2-х часов к объекту по вызову ИСПОЛНИТЕЛЯ для вскрытия, осмотра объекта при срабатывании средств сигнализации и пересдачи под охрану в установленном порядке.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exact"/>
        <w:ind w:left="20" w:right="400"/>
      </w:pPr>
      <w:r>
        <w:t>Письменно сообщать в срок за 10 дней о проведении какого-либо ремонта помещений и переоборудования объектов, об изменении на них режима работы, появлении новых или изменении старых мест хранения ценностей, сдаче в аренду охраняемых помещений и площадей другим лицам, о передаче объекта в собственность другим юридическим лицам, а также о проведении мероприятий, вследствие которых может потребоваться изменение характера охраны, дополнительное оборудование объекта средствами охранно-пожарной сигнализации (или их ремонт) и дополнительная строительная укрепленность.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0" w:right="400"/>
      </w:pPr>
      <w:r>
        <w:t>Перед снятием объекта с охраны провести осмотр его с внешней стороны на предмет целостности окон, дверей, запоров и других строительных конструкций. Сообщить о факте нарушения целостности охраняемого объекта или причинения ущерба повреждением имущества ИСПОЛНИТЕЛЮ и до прибытия их представителей обеспечить неприкосновенность места происшествия.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81"/>
        </w:tabs>
        <w:spacing w:before="0" w:line="240" w:lineRule="exact"/>
        <w:ind w:left="20" w:right="400"/>
      </w:pPr>
      <w:r>
        <w:t>Снимать остатки материальных ценностей по определению размера ущерба, причиненного кражей, уничтожением или повреждением имущества, в обязательном присутствии ответственных представителей ИСПОЛНИТЕЛЯ.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0" w:right="400"/>
      </w:pPr>
      <w:r>
        <w:t>Не разглашать посторонним лицам принципы и систему охраны и сигнализации, а также присвоенные пультовые номера. Не допускать к средствам сигнализации для технического осмотра и ремонта не уполномоченных ИСПОЛНИТЕЛЕМ лиц.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0" w:right="400"/>
      </w:pPr>
      <w:r>
        <w:t>Письменно уведомлять сторонние организации и физических лиц об условиях п.4.1. настоящего договора в случаях хранения ими имущества и денежных средств в охраняемых помещениях.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0" w:right="400"/>
      </w:pPr>
      <w:r>
        <w:t>В случае реорганизации или ликвидации юридического лица в 10-ти дневный срок, с момента принятия такого решения, сообщить об этом ИСПОЛНИТЕЛЯ в письменной форме и провести расчеты за оказанные услуги.</w:t>
      </w:r>
    </w:p>
    <w:p w:rsidR="00521726" w:rsidRDefault="00D33458">
      <w:pPr>
        <w:pStyle w:val="1"/>
        <w:numPr>
          <w:ilvl w:val="2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0"/>
      </w:pPr>
      <w:r>
        <w:t>Производить оплату своевременно согласно условий и порядка расчета пункта 5.1. настоящего договора. Нарушения пунктов: 3.1.1,</w:t>
      </w:r>
    </w:p>
    <w:p w:rsidR="00521726" w:rsidRDefault="00D33458">
      <w:pPr>
        <w:pStyle w:val="1"/>
        <w:numPr>
          <w:ilvl w:val="0"/>
          <w:numId w:val="7"/>
        </w:numPr>
        <w:shd w:val="clear" w:color="auto" w:fill="auto"/>
        <w:tabs>
          <w:tab w:val="left" w:pos="486"/>
          <w:tab w:val="left" w:pos="481"/>
        </w:tabs>
        <w:spacing w:before="0" w:line="240" w:lineRule="exact"/>
        <w:ind w:left="20" w:right="400"/>
      </w:pPr>
      <w:r>
        <w:t>3.1.6, 3.1.7, 3.1.9, 3.1.13 настоящего раздела договора считаются существенными, т.к. могут повлечь для ИСПОЛНИТЕЛЯ значительный материальный ущерб.</w:t>
      </w:r>
    </w:p>
    <w:p w:rsidR="00521726" w:rsidRDefault="00D33458">
      <w:pPr>
        <w:pStyle w:val="20"/>
        <w:shd w:val="clear" w:color="auto" w:fill="auto"/>
        <w:spacing w:line="240" w:lineRule="exact"/>
        <w:ind w:right="60"/>
        <w:jc w:val="center"/>
      </w:pPr>
      <w:r>
        <w:t>4.</w:t>
      </w:r>
      <w:r w:rsidR="00575934">
        <w:t xml:space="preserve"> </w:t>
      </w:r>
      <w:r>
        <w:t>ОТВЕТСТВЕННОСТЬ ИСПОЛНИТ</w:t>
      </w:r>
      <w:r w:rsidR="00575934">
        <w:t>ЕЛЯ И ПОРЯДОК ВОЗМЕЩЕНИЯ УЩЕРБА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 w:right="400"/>
      </w:pPr>
      <w:r>
        <w:t>ИСПОЛНИТЕЛЬ несет материальную ответственность перед ЗАКАЗЧИКОМ только за имущество (кроме денежных средств) - далее имущества, принадлежащие ЗАКАЗЧИКУ на праве собственности.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 w:right="400"/>
      </w:pPr>
      <w:r>
        <w:t>ИСПОЛНИТЕЛЬ несет материальную ответственность за реальный ущерб, причиненный хищением товарно-материальных ценностей, принадлежащих ЗАКАЗЧИКУ на праве собственности, совершенным путем кражи, только при невыполнении своих обязательств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</w:pPr>
      <w:r>
        <w:t>по п. 2.1.3. договора и наличии в этом его вины.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40" w:lineRule="exact"/>
        <w:ind w:left="20"/>
      </w:pPr>
      <w:r>
        <w:t>ИСПОЛНИТЕЛЬ несет материальную ответственность за реальный ущерб:</w:t>
      </w:r>
    </w:p>
    <w:p w:rsidR="00521726" w:rsidRDefault="00D33458">
      <w:pPr>
        <w:pStyle w:val="1"/>
        <w:numPr>
          <w:ilvl w:val="0"/>
          <w:numId w:val="9"/>
        </w:numPr>
        <w:shd w:val="clear" w:color="auto" w:fill="auto"/>
        <w:tabs>
          <w:tab w:val="left" w:pos="404"/>
        </w:tabs>
        <w:spacing w:before="0" w:line="240" w:lineRule="exact"/>
        <w:ind w:left="20" w:right="400"/>
      </w:pPr>
      <w:r>
        <w:t xml:space="preserve">Причиненный хищениями материальных ценностей, совершенными посредством взлома на охраняемых объектах запоров, замков, окон, витрин, ограждений и иными способами в результате </w:t>
      </w:r>
      <w:r w:rsidR="00B84641">
        <w:t>необеспечения</w:t>
      </w:r>
      <w:r>
        <w:t xml:space="preserve"> надлежащей охраны.</w:t>
      </w:r>
    </w:p>
    <w:p w:rsidR="00521726" w:rsidRDefault="00D33458">
      <w:pPr>
        <w:pStyle w:val="1"/>
        <w:numPr>
          <w:ilvl w:val="0"/>
          <w:numId w:val="9"/>
        </w:numPr>
        <w:shd w:val="clear" w:color="auto" w:fill="auto"/>
        <w:tabs>
          <w:tab w:val="left" w:pos="399"/>
        </w:tabs>
        <w:spacing w:before="0" w:line="240" w:lineRule="exact"/>
        <w:ind w:left="20" w:right="400"/>
      </w:pPr>
      <w:r>
        <w:t>Нанесенный уничтожением или повреждением имущества посторонними лицами, проникшими на охраняемый объект вследствие ненадлежащего выполнения ИСПОЛНИТЕЛЕМ принятых по договору обязательств.</w:t>
      </w:r>
    </w:p>
    <w:p w:rsidR="00521726" w:rsidRDefault="00D33458">
      <w:pPr>
        <w:pStyle w:val="1"/>
        <w:numPr>
          <w:ilvl w:val="0"/>
          <w:numId w:val="9"/>
        </w:numPr>
        <w:shd w:val="clear" w:color="auto" w:fill="auto"/>
        <w:tabs>
          <w:tab w:val="left" w:pos="399"/>
        </w:tabs>
        <w:spacing w:before="0" w:line="240" w:lineRule="exact"/>
        <w:ind w:left="20" w:right="400"/>
      </w:pPr>
      <w:r>
        <w:t>Причиненный хищением, уничтожением или повреждением имущества работниками ИСПОЛНИТЕЛЯ, осуществляющими охрану объектов.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40" w:lineRule="exact"/>
        <w:ind w:left="20" w:right="400"/>
      </w:pPr>
      <w:r>
        <w:t>Факт хищения, уничтожения или повреждения имущества устанавливаются органами дознания, следствия или судом или материалами совместной служебной проверки ответственными представителями ЗАКАЗЧИКА и ИСПОЛНИТЕЛЯ.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 w:right="400"/>
      </w:pPr>
      <w:r>
        <w:t>При наличии заявления ЗАКАЗЧИКА (письменно или телефонограммой) о причинении ущерба, снятие остатков материальных ценностей производится по прибытии ответственных представителей сторон на место происшествия.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 w:right="400"/>
      </w:pPr>
      <w:r>
        <w:t>Возмещение ЗАКАЗЧИКУ причиненного по вине ИСПОЛНИТЕЛЯ ущерба производится по представлении ЗАКАЗЧИКОМ постановления органов дознания, следствия или приговора суда, установившего факт хищения, уничтожения или повреждения имущества или материалов совместной служебной проверки.</w:t>
      </w:r>
      <w:r w:rsidR="00B84641">
        <w:t xml:space="preserve"> </w:t>
      </w:r>
      <w:r>
        <w:t xml:space="preserve">При определении убытков принимаются во внимание цены, существовавшие на день причинения ЗАКАЗЧИКУ ущерба, принимая во внимание амортизацию товарно-материальных ценностей в процессе </w:t>
      </w:r>
      <w:r w:rsidR="00B84641">
        <w:t>их эксплуатации,</w:t>
      </w:r>
      <w:r>
        <w:t xml:space="preserve"> подтвержденные соответствующими бухгалтерскими документами. Размер ущерба должен быть подтвержден актом инвентаризации, составленным сторонами по результатам снятия остатков товарно-материальных ценностей, проведенного с участием ИСПОЛНИТЕЛЯ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</w:pPr>
      <w:r>
        <w:t>и сверенным с бухгалтерскими данными на день происшествия.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</w:pPr>
      <w:r>
        <w:t>ИСПОЛНИТЕЛЕМ возмещается реальный ущерб, в который включается:</w:t>
      </w:r>
    </w:p>
    <w:p w:rsidR="00521726" w:rsidRDefault="00D33458">
      <w:pPr>
        <w:pStyle w:val="1"/>
        <w:shd w:val="clear" w:color="auto" w:fill="auto"/>
        <w:tabs>
          <w:tab w:val="left" w:pos="198"/>
        </w:tabs>
        <w:spacing w:before="0" w:line="240" w:lineRule="exact"/>
        <w:ind w:left="20"/>
      </w:pPr>
      <w:r>
        <w:t>а)</w:t>
      </w:r>
      <w:r>
        <w:tab/>
        <w:t>стоимость похищенного или поврежденного имущества (без учета упущенной выгоды);</w:t>
      </w:r>
    </w:p>
    <w:p w:rsidR="00521726" w:rsidRDefault="00D33458">
      <w:pPr>
        <w:pStyle w:val="1"/>
        <w:shd w:val="clear" w:color="auto" w:fill="auto"/>
        <w:tabs>
          <w:tab w:val="left" w:pos="198"/>
        </w:tabs>
        <w:spacing w:before="0" w:line="240" w:lineRule="exact"/>
        <w:ind w:left="20"/>
      </w:pPr>
      <w:r>
        <w:t>б)</w:t>
      </w:r>
      <w:r>
        <w:tab/>
        <w:t>размер уценки поврежденных материальных ценностей;</w:t>
      </w:r>
    </w:p>
    <w:p w:rsidR="00521726" w:rsidRDefault="00D33458">
      <w:pPr>
        <w:pStyle w:val="1"/>
        <w:shd w:val="clear" w:color="auto" w:fill="auto"/>
        <w:tabs>
          <w:tab w:val="left" w:pos="183"/>
        </w:tabs>
        <w:spacing w:before="0" w:line="240" w:lineRule="exact"/>
        <w:ind w:left="20"/>
      </w:pPr>
      <w:r>
        <w:t>в)</w:t>
      </w:r>
      <w:r>
        <w:tab/>
        <w:t>расходы, произведенные на восстановление поврежденного имущества.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 w:right="400"/>
      </w:pPr>
      <w:r>
        <w:t xml:space="preserve">В случае обнаружения виновных лиц имущественный ущерб взыскивается с них ИСПОЛНИТЕЛЕМ. При возвращении ЗАКАЗЧИКУ похищенных материальных ценностей присутствие представителя ИСПОЛНИТЕЛЯ является обязательным. Стоимость возвращенных материальных ценностей исключается из общей суммы иска, предъявляемого </w:t>
      </w:r>
      <w:r w:rsidR="00B84641">
        <w:t>ЗАКАЗЧИКОМ,</w:t>
      </w:r>
      <w:r>
        <w:t xml:space="preserve"> а ранее оплаченная сумма за эти ценности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 w:right="740"/>
        <w:jc w:val="both"/>
      </w:pPr>
      <w:r>
        <w:t xml:space="preserve">возвращается </w:t>
      </w:r>
      <w:r w:rsidR="00B84641">
        <w:t>ИСПОЛНИТЕЛЮ.</w:t>
      </w:r>
      <w:r>
        <w:t xml:space="preserve"> Если часть возвращенных материальных ценностей окажется неполноценной, об этом составляется акт с участием ответственных представителей обеих сторон и компетентных лиц для определения процента годности указанных ценностей (оплата экспертизы в </w:t>
      </w:r>
      <w:r>
        <w:lastRenderedPageBreak/>
        <w:t>равных долях). В этом случае ИСПОЛНИТЕЛЬ возмещает ЗАКАЗЧИКУ размер уценки.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/>
        <w:jc w:val="both"/>
      </w:pPr>
      <w:r>
        <w:t>ИСПОЛНИТЕЛЬ освобождается от материальной ответственности лишь в случаях, когда он докажет отсутствие своей вины.</w:t>
      </w:r>
    </w:p>
    <w:p w:rsidR="00521726" w:rsidRDefault="00D33458">
      <w:pPr>
        <w:pStyle w:val="1"/>
        <w:shd w:val="clear" w:color="auto" w:fill="auto"/>
        <w:spacing w:before="0" w:line="269" w:lineRule="exact"/>
        <w:ind w:left="20"/>
        <w:jc w:val="both"/>
      </w:pPr>
      <w:r>
        <w:t>В частности, ИСПОЛНИТЕЛЬ не несет ответственности за:</w:t>
      </w:r>
    </w:p>
    <w:p w:rsidR="00521726" w:rsidRDefault="00D33458">
      <w:pPr>
        <w:pStyle w:val="1"/>
        <w:shd w:val="clear" w:color="auto" w:fill="auto"/>
        <w:tabs>
          <w:tab w:val="left" w:pos="198"/>
        </w:tabs>
        <w:spacing w:before="0" w:line="269" w:lineRule="exact"/>
        <w:ind w:left="20" w:right="300"/>
      </w:pPr>
      <w:r>
        <w:t>а)</w:t>
      </w:r>
      <w:r>
        <w:tab/>
        <w:t xml:space="preserve">за имущественный ущерб, причиненный при проникновении на </w:t>
      </w:r>
      <w:r w:rsidR="00B84641">
        <w:t>объект</w:t>
      </w:r>
      <w:r>
        <w:t xml:space="preserve"> посторонними лицами, через места, от защиты которых средствами инженерно-технической укрепленности и (или) ТСО ЗАКАЗЧИК отказался при обследовании объекта, либо через уязвимые (незащищенные) места, образовавшиеся в результате переоборудования объекта, изменения первоначальных или возникновения новых мест хранения товарно-материальных ценностей, о чем ИСПОЛНИТЕЛЬ не был уведомлен письменно.</w:t>
      </w:r>
    </w:p>
    <w:p w:rsidR="00521726" w:rsidRDefault="00D33458">
      <w:pPr>
        <w:pStyle w:val="1"/>
        <w:shd w:val="clear" w:color="auto" w:fill="auto"/>
        <w:tabs>
          <w:tab w:val="left" w:pos="202"/>
        </w:tabs>
        <w:spacing w:before="0" w:line="240" w:lineRule="exact"/>
        <w:ind w:left="20" w:right="300"/>
      </w:pPr>
      <w:r>
        <w:t>б)</w:t>
      </w:r>
      <w:r>
        <w:tab/>
        <w:t>имущественный ущерб, причиненный стихийными бедствиями, пожарами, авариями коммунальных сетей, действиями лиц при массовых беспорядках, а также действиями работников ИСПОЛНИТЕЛЯ в силу крайней необходимости при задержании преступников, проникших на охраняемый объект;</w:t>
      </w:r>
    </w:p>
    <w:p w:rsidR="00521726" w:rsidRDefault="00D33458">
      <w:pPr>
        <w:pStyle w:val="1"/>
        <w:shd w:val="clear" w:color="auto" w:fill="auto"/>
        <w:tabs>
          <w:tab w:val="left" w:pos="188"/>
        </w:tabs>
        <w:spacing w:before="0" w:line="240" w:lineRule="exact"/>
        <w:ind w:left="20" w:right="300"/>
      </w:pPr>
      <w:r>
        <w:t>в)</w:t>
      </w:r>
      <w:r>
        <w:tab/>
        <w:t>ущерб, причиненный при массовом отключении электроэнергии, если это послужило препятствием к осуществлению вида охраны, оговоренного в Приложении № 1;</w:t>
      </w:r>
    </w:p>
    <w:p w:rsidR="00521726" w:rsidRDefault="00D33458">
      <w:pPr>
        <w:pStyle w:val="1"/>
        <w:shd w:val="clear" w:color="auto" w:fill="auto"/>
        <w:tabs>
          <w:tab w:val="left" w:pos="169"/>
        </w:tabs>
        <w:spacing w:before="0" w:line="240" w:lineRule="exact"/>
        <w:ind w:left="20" w:right="740"/>
        <w:jc w:val="both"/>
      </w:pPr>
      <w:r>
        <w:t>г)</w:t>
      </w:r>
      <w:r>
        <w:tab/>
        <w:t>кражу предметов антиквариата, драгоценных металлов и камней, а также изделий из них, часов в золотых, платиновых и серебряных корпусах, мобильных телефонов, хранящихся с нарушением условий п.3.1.5. договора;</w:t>
      </w:r>
    </w:p>
    <w:p w:rsidR="00521726" w:rsidRDefault="00D33458">
      <w:pPr>
        <w:pStyle w:val="1"/>
        <w:shd w:val="clear" w:color="auto" w:fill="auto"/>
        <w:tabs>
          <w:tab w:val="left" w:pos="202"/>
        </w:tabs>
        <w:spacing w:before="0" w:line="240" w:lineRule="exact"/>
        <w:ind w:left="20" w:right="740"/>
        <w:jc w:val="both"/>
      </w:pPr>
      <w:r>
        <w:t>д)</w:t>
      </w:r>
      <w:r>
        <w:tab/>
        <w:t>оставленное в охраняемом помещении личное имущество работников ЗАКАЗЧИКА, а также имущество других сторонних предприятий и физических лиц;</w:t>
      </w:r>
    </w:p>
    <w:p w:rsidR="00521726" w:rsidRDefault="00D33458">
      <w:pPr>
        <w:pStyle w:val="1"/>
        <w:shd w:val="clear" w:color="auto" w:fill="auto"/>
        <w:tabs>
          <w:tab w:val="left" w:pos="188"/>
        </w:tabs>
        <w:spacing w:before="0" w:line="240" w:lineRule="exact"/>
        <w:ind w:left="20"/>
        <w:jc w:val="both"/>
      </w:pPr>
      <w:r>
        <w:t>е)</w:t>
      </w:r>
      <w:r>
        <w:tab/>
        <w:t>ущерб, причиненный преступником, если он проник в это помещение до его закрытия и сдачи под охрану;</w:t>
      </w:r>
    </w:p>
    <w:p w:rsidR="00521726" w:rsidRDefault="00D33458">
      <w:pPr>
        <w:pStyle w:val="1"/>
        <w:shd w:val="clear" w:color="auto" w:fill="auto"/>
        <w:tabs>
          <w:tab w:val="left" w:pos="222"/>
        </w:tabs>
        <w:spacing w:before="0" w:line="240" w:lineRule="exact"/>
        <w:ind w:left="20"/>
        <w:jc w:val="both"/>
      </w:pPr>
      <w:r>
        <w:t>ж)</w:t>
      </w:r>
      <w:r>
        <w:tab/>
        <w:t>кражу материальных ценностей, выставленных или оставленных на хранение в витринах магазинов, ателье и т.п.;</w:t>
      </w:r>
    </w:p>
    <w:p w:rsidR="00521726" w:rsidRDefault="00D33458">
      <w:pPr>
        <w:pStyle w:val="1"/>
        <w:shd w:val="clear" w:color="auto" w:fill="auto"/>
        <w:tabs>
          <w:tab w:val="left" w:pos="188"/>
        </w:tabs>
        <w:spacing w:before="0" w:line="240" w:lineRule="exact"/>
        <w:ind w:left="20" w:right="1160"/>
      </w:pPr>
      <w:r>
        <w:t>з)</w:t>
      </w:r>
      <w:r>
        <w:tab/>
        <w:t>кражу материальных ценностей другого Собственника, арендующего площади в охраняемых помещениях, если он не заключил с ИСПОЛНИТЕЛЕМ самостоятельно договор на охрану;</w:t>
      </w:r>
    </w:p>
    <w:p w:rsidR="00521726" w:rsidRDefault="00D33458">
      <w:pPr>
        <w:pStyle w:val="1"/>
        <w:shd w:val="clear" w:color="auto" w:fill="auto"/>
        <w:tabs>
          <w:tab w:val="left" w:pos="198"/>
        </w:tabs>
        <w:spacing w:before="0" w:line="240" w:lineRule="exact"/>
        <w:ind w:left="20" w:right="300"/>
      </w:pPr>
      <w:r>
        <w:t>и)</w:t>
      </w:r>
      <w:r>
        <w:tab/>
        <w:t>за кражу материальных ценностей, если совместной служебной проверкой, органами дознания, следствия или судом будет установлено, что она совершена в связи с не включением ЗАКАЗЧИКОМ охранной сигнализации, не сдачей объекта под охрану или не сообщением ИСПОЛНИТЕЛЮ о неисправности сигнализации, а так же нарушении правил эксплуатации сигнализации или ее намеренной порче, а кроме того если установлено, что кража, повреждение или уничтожение имущества подготовлены и (или) совершены работниками ЗАКАЗЧИКА;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 w:right="300"/>
      </w:pPr>
      <w:r>
        <w:t>к) кражу материальных ценностей при невыполнении ЗАКАЗЧИКОМ в установленные актом обследования сроки требований ИСПОЛНИТЕЛЯ по технической укрепленности охраняемых объектов или оснащению их средствами ОПС, а также эксплуатации средств ОПС более установленной нормативом срока, если это послужило условием совершения кражи; л) кражу материальных ценностей при невыполнении ЗАКАЗЧИКОМ п.3.1.8, п.3.1.13 и п.3.1.14 договора;</w:t>
      </w:r>
    </w:p>
    <w:p w:rsidR="00521726" w:rsidRDefault="00D33458">
      <w:pPr>
        <w:pStyle w:val="1"/>
        <w:shd w:val="clear" w:color="auto" w:fill="auto"/>
        <w:spacing w:before="0" w:line="216" w:lineRule="exact"/>
        <w:ind w:left="20" w:right="740"/>
        <w:jc w:val="both"/>
      </w:pPr>
      <w:r>
        <w:t xml:space="preserve">м) кражу материальных ценностей, произошедшую через элементы конструкции, несоответствующие нормам укрепленности объектов, согласно их категории в </w:t>
      </w:r>
      <w:r w:rsidR="00B84641">
        <w:t>соответствии</w:t>
      </w:r>
      <w:r>
        <w:t xml:space="preserve"> с классификацией МВД (РД 78.145-93).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  <w:jc w:val="both"/>
      </w:pPr>
      <w:r>
        <w:t>н) если заказчик заявил о краже, повреждении или уничтожении имущества после снятия объекта с охраны и начала работы;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  <w:jc w:val="both"/>
      </w:pPr>
      <w:r>
        <w:t>о) ущерб, причиненный кражей, повреждением (уничтожением) имущества при проникновении преступников через элементы конструкций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  <w:jc w:val="both"/>
      </w:pPr>
      <w:r>
        <w:t>здания, осмотр которых ГБР невозможен до вскрытия объекта.</w:t>
      </w:r>
      <w:r w:rsidR="00B84641">
        <w:t xml:space="preserve"> </w:t>
      </w:r>
      <w:r>
        <w:t>ИСПОЛНИТЕЛЬ также не несет ответственности за ущерб, причиненный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  <w:jc w:val="both"/>
      </w:pPr>
      <w:r>
        <w:t>уничтожением денежных средств, а также уничтожением или повреждением материальных ценностей посторонними лицами в случаях,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/>
        <w:jc w:val="both"/>
      </w:pPr>
      <w:r>
        <w:t>указанных в подпунктах "б", "в", "г", "д", "е", "ж", "з", "к", "л", "м", "н" настоящего пункта.</w:t>
      </w:r>
    </w:p>
    <w:p w:rsidR="00521726" w:rsidRDefault="00D33458">
      <w:pPr>
        <w:pStyle w:val="1"/>
        <w:shd w:val="clear" w:color="auto" w:fill="auto"/>
        <w:spacing w:before="0" w:line="221" w:lineRule="exact"/>
        <w:ind w:left="20"/>
        <w:jc w:val="both"/>
      </w:pPr>
      <w:r>
        <w:t>п) при наличии задолженности ЗАКАЗЧИКА за оказанные услуги, за период более одного месяца;</w:t>
      </w:r>
    </w:p>
    <w:p w:rsidR="00521726" w:rsidRDefault="00D33458">
      <w:pPr>
        <w:pStyle w:val="1"/>
        <w:shd w:val="clear" w:color="auto" w:fill="auto"/>
        <w:spacing w:before="0" w:line="221" w:lineRule="exact"/>
        <w:ind w:left="20" w:right="300"/>
      </w:pPr>
      <w:r>
        <w:t>р) ИСПОЛНИТЕЛЬ не несет ответственность за повреждение посторонними лицами дверей, окон, замков, вывесок, иных строительных, декоративных конструкций объекта в период его нахождения под централизованным наблюдением.</w:t>
      </w:r>
    </w:p>
    <w:p w:rsidR="00521726" w:rsidRDefault="00D33458">
      <w:pPr>
        <w:pStyle w:val="1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exact"/>
        <w:ind w:left="20" w:right="1160"/>
      </w:pPr>
      <w:r>
        <w:t>ИСПОЛНИТЕЛЬ не несет ответственность за повреждение посторонними лицами дверей, окон, замков и других строительных конструкций объекта в период его нахождения под централизованным наблюдением.</w:t>
      </w:r>
    </w:p>
    <w:p w:rsidR="00D33458" w:rsidRDefault="00D33458" w:rsidP="00D33458">
      <w:pPr>
        <w:pStyle w:val="1"/>
        <w:shd w:val="clear" w:color="auto" w:fill="auto"/>
        <w:tabs>
          <w:tab w:val="left" w:pos="279"/>
        </w:tabs>
        <w:spacing w:before="0" w:line="240" w:lineRule="exact"/>
        <w:ind w:left="20" w:right="1160"/>
      </w:pPr>
    </w:p>
    <w:p w:rsidR="00521726" w:rsidRDefault="00575934">
      <w:pPr>
        <w:pStyle w:val="20"/>
        <w:shd w:val="clear" w:color="auto" w:fill="auto"/>
        <w:spacing w:line="240" w:lineRule="exact"/>
        <w:ind w:left="120"/>
        <w:jc w:val="center"/>
      </w:pPr>
      <w:r>
        <w:t>5. УСЛОВИЯ И ПОРЯДОК РАСЧЕТОВ</w:t>
      </w:r>
    </w:p>
    <w:p w:rsidR="00521726" w:rsidRDefault="00D33458">
      <w:pPr>
        <w:pStyle w:val="1"/>
        <w:numPr>
          <w:ilvl w:val="0"/>
          <w:numId w:val="10"/>
        </w:numPr>
        <w:shd w:val="clear" w:color="auto" w:fill="auto"/>
        <w:tabs>
          <w:tab w:val="left" w:pos="270"/>
        </w:tabs>
        <w:spacing w:before="0" w:line="240" w:lineRule="exact"/>
        <w:ind w:left="20" w:right="300"/>
      </w:pPr>
      <w:r>
        <w:t xml:space="preserve">Сумма договора устанавливается согласно тарифам, указанным в перечне охраняемых объектов, Приложение № 1 к настоящему договору, и может быть изменена до истечения его срока действия в зависимости от общего изменения индекса цен и расходов на содержание охраны. При увеличении расходов на содержание Охраны, (рост заработной платы, повышение цен на энергоносители, продукцию и падение курса рубля и т.д.), вновь установленная сумма оплаты услуг ИСПОЛНИТЕЛЯ принимается ЗАКАЗЧИКОМ для расчетов с ИСПОЛНИТЕЛЕМ в течение 20-ти дней с момента уведомления ЗАКАЗЧИКА. В </w:t>
      </w:r>
      <w:r w:rsidR="00B84641">
        <w:t>случае,</w:t>
      </w:r>
      <w:r>
        <w:t xml:space="preserve"> когда ЗАКАЗЧИК не в состоянии пользоваться услугами ИСПОЛНИТЕЛЯ по повышенным тарифам он ставит об этом в известность ИСПОЛНИТЕЛЯ за 20 дней до дня расторжения договора включительно.</w:t>
      </w:r>
    </w:p>
    <w:p w:rsidR="00521726" w:rsidRDefault="00D33458">
      <w:pPr>
        <w:pStyle w:val="1"/>
        <w:shd w:val="clear" w:color="auto" w:fill="auto"/>
        <w:spacing w:before="0" w:line="240" w:lineRule="exact"/>
        <w:ind w:left="20" w:right="300"/>
      </w:pPr>
      <w:r>
        <w:t>Оплата услуг ИСПОЛНИТЕЛЯ производится ежемесячно путем перечисления ЗАКАЗЧИКОМ денежных средств на расчетный счет ИСПОЛНИТЕЛЯ или путем сдачи наличных денег в его кассу, а также, по соглашению сторон, иным путем, до 25-го числа текущего месяца.</w:t>
      </w:r>
    </w:p>
    <w:p w:rsidR="00521726" w:rsidRDefault="00D33458">
      <w:pPr>
        <w:pStyle w:val="1"/>
        <w:numPr>
          <w:ilvl w:val="0"/>
          <w:numId w:val="11"/>
        </w:numPr>
        <w:shd w:val="clear" w:color="auto" w:fill="auto"/>
        <w:tabs>
          <w:tab w:val="left" w:pos="313"/>
        </w:tabs>
        <w:spacing w:before="0" w:line="240" w:lineRule="exact"/>
        <w:ind w:left="20" w:right="740"/>
        <w:jc w:val="both"/>
      </w:pPr>
      <w:r>
        <w:t>За ложный вызов ГБР по вине ЗАКАЗЧИКА последний возмещает ИСПОЛНИТЕЛЮ понесенные ею дополнительные расходы в сумме 200 (двести) рублей в 10-ти дневный срок с момента получения ЗАКАЗЧИКОМ письменного уведомления.</w:t>
      </w:r>
    </w:p>
    <w:p w:rsidR="00521726" w:rsidRDefault="00D33458">
      <w:pPr>
        <w:pStyle w:val="1"/>
        <w:shd w:val="clear" w:color="auto" w:fill="auto"/>
        <w:spacing w:before="0" w:after="161" w:line="211" w:lineRule="exact"/>
        <w:ind w:left="20" w:right="300"/>
        <w:jc w:val="both"/>
      </w:pPr>
      <w:r>
        <w:t>Заказчик подписывает акт оказанных услуг в течение 5 дней с момента его получения. В случае необоснованного отказа от подписания акта или отсутствия ответа от Заказчика в течение 10 рабочих дней с момента отправки Исполнителем акта Заказчику, услуги считаются принятыми им в полном объеме.</w:t>
      </w:r>
    </w:p>
    <w:p w:rsidR="00521726" w:rsidRDefault="00D33458">
      <w:pPr>
        <w:pStyle w:val="1"/>
        <w:shd w:val="clear" w:color="auto" w:fill="auto"/>
        <w:spacing w:before="0" w:line="235" w:lineRule="exact"/>
        <w:ind w:left="120"/>
        <w:jc w:val="center"/>
      </w:pPr>
      <w:r>
        <w:t>Акты выполненных работ по согласованию сторон могут быть подписаны электронной цифровой подписью, без представления оригиналов.</w:t>
      </w:r>
    </w:p>
    <w:p w:rsidR="00521726" w:rsidRDefault="00D33458">
      <w:pPr>
        <w:pStyle w:val="1"/>
        <w:numPr>
          <w:ilvl w:val="0"/>
          <w:numId w:val="11"/>
        </w:numPr>
        <w:shd w:val="clear" w:color="auto" w:fill="auto"/>
        <w:tabs>
          <w:tab w:val="left" w:pos="318"/>
        </w:tabs>
        <w:spacing w:before="0" w:line="235" w:lineRule="exact"/>
        <w:ind w:left="20"/>
        <w:jc w:val="both"/>
      </w:pPr>
      <w:r>
        <w:t>Если, в результате невыполнения или ненадлежащего выполнения ЗАКАЗЧИКОМ своих обязанностей, указанных в п.п. 3.1.4, 3.1.6, 3.1.7,</w:t>
      </w:r>
    </w:p>
    <w:p w:rsidR="00521726" w:rsidRDefault="00D33458">
      <w:pPr>
        <w:pStyle w:val="1"/>
        <w:shd w:val="clear" w:color="auto" w:fill="auto"/>
        <w:spacing w:before="0" w:line="235" w:lineRule="exact"/>
        <w:ind w:left="20" w:right="300"/>
      </w:pPr>
      <w:r>
        <w:t>3.1.8, 3.1.9 настоящего договора, объект остался без охраны, и ИСПОЛНИТЕЛЬ вынужден был охранять его другим видом охраны, не предусмотренным данным договором, ЗАКАЗЧИК компенсирует ИСПОЛНИТЕЛЮ разницу стоимости за каждый час охраны по действующим договорным тарифам</w:t>
      </w:r>
    </w:p>
    <w:p w:rsidR="00D33458" w:rsidRDefault="00D33458">
      <w:pPr>
        <w:pStyle w:val="1"/>
        <w:shd w:val="clear" w:color="auto" w:fill="auto"/>
        <w:spacing w:before="0" w:line="235" w:lineRule="exact"/>
        <w:ind w:left="20" w:right="300"/>
      </w:pPr>
    </w:p>
    <w:p w:rsidR="00521726" w:rsidRDefault="00D33458">
      <w:pPr>
        <w:pStyle w:val="20"/>
        <w:numPr>
          <w:ilvl w:val="0"/>
          <w:numId w:val="12"/>
        </w:numPr>
        <w:shd w:val="clear" w:color="auto" w:fill="auto"/>
        <w:tabs>
          <w:tab w:val="left" w:pos="341"/>
        </w:tabs>
        <w:spacing w:line="235" w:lineRule="exact"/>
        <w:ind w:left="120"/>
        <w:jc w:val="center"/>
      </w:pPr>
      <w:r>
        <w:t>ДОПОЛНИТЕЛЬНЫЕ УСЛОВИЯ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74"/>
        </w:tabs>
        <w:spacing w:before="0" w:line="235" w:lineRule="exact"/>
        <w:ind w:left="20"/>
        <w:jc w:val="both"/>
      </w:pPr>
      <w:r>
        <w:t>При отключении или неисправности сети электропитания или др.</w:t>
      </w:r>
      <w:r w:rsidR="00B84641">
        <w:t xml:space="preserve"> </w:t>
      </w:r>
      <w:r>
        <w:t>неисправностей исключающих возможность приема объекта под</w:t>
      </w:r>
      <w:r>
        <w:br w:type="page"/>
      </w:r>
    </w:p>
    <w:p w:rsidR="00521726" w:rsidRDefault="00D33458">
      <w:pPr>
        <w:pStyle w:val="1"/>
        <w:shd w:val="clear" w:color="auto" w:fill="auto"/>
        <w:spacing w:before="0" w:line="240" w:lineRule="exact"/>
        <w:ind w:left="40" w:right="180"/>
      </w:pPr>
      <w:r>
        <w:t>охрану с помощью пульта централизованного наблюдения, охрана осуществляется ЗАКАЗЧИКОМ, или по соглашению сторон - ИСПОЛНИТЕЛЕМ за соответствующую оплату по действующим договорным тарифам.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4"/>
        </w:tabs>
        <w:spacing w:before="0" w:line="240" w:lineRule="exact"/>
        <w:ind w:left="40" w:right="180"/>
      </w:pPr>
      <w:r>
        <w:t xml:space="preserve">В случае не предоставления ЗАКАЗЧИКОМ обусловленного договором исполнения обязательств, а также неоплаты им услуг ИСПОЛНИТЕЛЯ в соответствии с пунктом 5.1, или затрат за необоснованный выезд ГБР в соответствии с пунктом 5.2. данного договора, ИСПОЛНИТЕЛЬ имеет право приостановить исполнение своих обязательств по договору, предварительно оповестив ЗАКАЗЧИКА через электронную почту или </w:t>
      </w:r>
      <w:r>
        <w:rPr>
          <w:lang w:val="en-US"/>
        </w:rPr>
        <w:t>SMS</w:t>
      </w:r>
      <w:r>
        <w:t>-сообщением, а по истечении месяца - расторгнуть его, о чём он оповещает ЗАКАЗЧИКА письменно</w:t>
      </w:r>
    </w:p>
    <w:p w:rsidR="00521726" w:rsidRDefault="00D33458">
      <w:pPr>
        <w:pStyle w:val="1"/>
        <w:shd w:val="clear" w:color="auto" w:fill="auto"/>
        <w:spacing w:before="0" w:line="240" w:lineRule="exact"/>
        <w:ind w:left="40"/>
      </w:pPr>
      <w:r>
        <w:t>и потребовать возмещения убытков.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4"/>
        </w:tabs>
        <w:spacing w:before="0" w:line="240" w:lineRule="exact"/>
        <w:ind w:left="40" w:right="180"/>
      </w:pPr>
      <w:r>
        <w:t xml:space="preserve">По письменному заявлению ЗАКАЗЧИКА с согласия ИСПОЛНИТЕЛЯ действие настоящего договора может быть приостановлено, при этом ЗАКАЗЧИК </w:t>
      </w:r>
      <w:r w:rsidR="00B84641">
        <w:t>о</w:t>
      </w:r>
      <w:r>
        <w:t>бязан оплачивать расходы, связанные с сохранением емкости пульта и расходы по обслуживанию средств сигнализации</w:t>
      </w:r>
    </w:p>
    <w:p w:rsidR="00521726" w:rsidRDefault="00D33458">
      <w:pPr>
        <w:pStyle w:val="1"/>
        <w:shd w:val="clear" w:color="auto" w:fill="auto"/>
        <w:spacing w:before="0" w:line="240" w:lineRule="exact"/>
        <w:ind w:left="40" w:right="180"/>
      </w:pPr>
      <w:r>
        <w:t>в сумме сто пятьдесят рублей в месяц в порядке, предусмотренном п.5.1. настоящего договора. За 10 дней до даты возобновления охраны объекта ЗАКАЗЧИК обязан пригласить электромонтера ИСПОЛНИТЕЛЯ по телефону +7(383)201-84-49 для проверки работоспособности сигнализации.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4"/>
        </w:tabs>
        <w:spacing w:before="0" w:line="240" w:lineRule="exact"/>
        <w:ind w:left="40" w:right="500"/>
        <w:jc w:val="both"/>
      </w:pPr>
      <w:r>
        <w:t>ИСПОЛНИТЕЛЬ имеет право приостановить действие настоящего договора в одностороннем порядке в случае возникновения спора о праве собственности и других имущественных прав на охраняемый объект и (или) имущество ЗАКАЗЧИКА до разрешения спора по существу.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4"/>
        </w:tabs>
        <w:spacing w:before="0" w:line="240" w:lineRule="exact"/>
        <w:ind w:left="40" w:right="180"/>
      </w:pPr>
      <w:r>
        <w:t>При заключении договора на охрану объекта, акты первичного обследования объекта для принятия под охрану, акты приема охранно</w:t>
      </w:r>
      <w:r>
        <w:softHyphen/>
        <w:t>пожарной сигнализации в эксплуатацию, схемы охраняемого объекта, сохраняют свою юридическую силу и являются неотъемлемой частью договора №____ от ___.</w:t>
      </w:r>
    </w:p>
    <w:p w:rsidR="00D33458" w:rsidRDefault="00D33458" w:rsidP="00D33458">
      <w:pPr>
        <w:pStyle w:val="1"/>
        <w:shd w:val="clear" w:color="auto" w:fill="auto"/>
        <w:tabs>
          <w:tab w:val="left" w:pos="294"/>
        </w:tabs>
        <w:spacing w:before="0" w:line="240" w:lineRule="exact"/>
        <w:ind w:left="40" w:right="180"/>
      </w:pPr>
    </w:p>
    <w:p w:rsidR="00521726" w:rsidRDefault="00D33458">
      <w:pPr>
        <w:pStyle w:val="20"/>
        <w:numPr>
          <w:ilvl w:val="0"/>
          <w:numId w:val="12"/>
        </w:numPr>
        <w:shd w:val="clear" w:color="auto" w:fill="auto"/>
        <w:tabs>
          <w:tab w:val="left" w:pos="182"/>
        </w:tabs>
        <w:spacing w:line="235" w:lineRule="exact"/>
        <w:ind w:right="140"/>
        <w:jc w:val="center"/>
      </w:pPr>
      <w:r>
        <w:t>СРОК ДЕЙСТВИЯ ДОГОВОРА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4"/>
        </w:tabs>
        <w:spacing w:before="0" w:line="235" w:lineRule="exact"/>
        <w:ind w:left="40" w:right="180"/>
      </w:pPr>
      <w:r>
        <w:t>Настоящий договор с приложениями составляется в двух экземплярах, из которых один находится у ИСПОЛНИТЕЛЯ, а второй у ЗАКАЗЧИКА, заключается сторонами сроком до конца календарного года и вступает в силу со следующего дня после его подписания.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85"/>
        </w:tabs>
        <w:spacing w:before="0" w:line="235" w:lineRule="exact"/>
        <w:ind w:left="40" w:right="180"/>
      </w:pPr>
      <w:r>
        <w:t>Договор остается в силе на прежних условиях и сроком на один год, если за один месяц до истечения его срока действия ни одна из сторон не потребует в письменной форме его прекращения.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4"/>
        </w:tabs>
        <w:spacing w:before="0" w:line="235" w:lineRule="exact"/>
        <w:ind w:left="40" w:right="180"/>
      </w:pPr>
      <w:r>
        <w:t>При отказе от охраны отдельных объектов, или досрочном расторжении договора заинтересованная сторона обязана предупредить об этом другую сторону не менее чем за 20 дней.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9"/>
        </w:tabs>
        <w:spacing w:before="0" w:line="235" w:lineRule="exact"/>
        <w:ind w:left="40" w:right="180"/>
      </w:pPr>
      <w:r>
        <w:t>Изменения настоящего договора считаются действительными, если они оформлены в виде дополнительного соглашения и подписаны договаривающимися сторонами.</w:t>
      </w:r>
    </w:p>
    <w:p w:rsidR="00521726" w:rsidRDefault="00D33458">
      <w:pPr>
        <w:pStyle w:val="1"/>
        <w:numPr>
          <w:ilvl w:val="1"/>
          <w:numId w:val="12"/>
        </w:numPr>
        <w:shd w:val="clear" w:color="auto" w:fill="auto"/>
        <w:tabs>
          <w:tab w:val="left" w:pos="299"/>
        </w:tabs>
        <w:spacing w:before="0" w:line="235" w:lineRule="exact"/>
        <w:ind w:left="40" w:right="500"/>
        <w:jc w:val="both"/>
      </w:pPr>
      <w:r>
        <w:t>Все споры по настоящему договору разрешаются сторонами в претензионном порядке. Претензии рассматриваются сторонами в течение 10 дней с момента их получения. Если, в результате, стороны не пришли к согласию, спор рассматривается в Арбитражном суде Новосибирской области.</w:t>
      </w:r>
    </w:p>
    <w:p w:rsidR="00521726" w:rsidRDefault="00575934">
      <w:pPr>
        <w:pStyle w:val="20"/>
        <w:shd w:val="clear" w:color="auto" w:fill="auto"/>
        <w:spacing w:line="235" w:lineRule="exact"/>
        <w:ind w:right="140"/>
        <w:jc w:val="center"/>
      </w:pPr>
      <w:r>
        <w:t>8. РЕКВИЗИТЫ СТОРОН</w:t>
      </w:r>
      <w:bookmarkStart w:id="0" w:name="_GoBack"/>
      <w:bookmarkEnd w:id="0"/>
    </w:p>
    <w:p w:rsidR="00521726" w:rsidRDefault="00D33458">
      <w:pPr>
        <w:pStyle w:val="20"/>
        <w:shd w:val="clear" w:color="auto" w:fill="auto"/>
        <w:tabs>
          <w:tab w:val="left" w:pos="7132"/>
        </w:tabs>
        <w:spacing w:after="148" w:line="160" w:lineRule="exact"/>
        <w:ind w:left="1780"/>
        <w:jc w:val="left"/>
      </w:pPr>
      <w:r>
        <w:t>ИСПОЛНИТЕЛЬ</w:t>
      </w:r>
      <w:r>
        <w:tab/>
        <w:t>ЗАКАЗЧИК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696"/>
        <w:gridCol w:w="763"/>
      </w:tblGrid>
      <w:tr w:rsidR="00521726" w:rsidTr="00D33458">
        <w:trPr>
          <w:trHeight w:hRule="exact" w:val="283"/>
        </w:trPr>
        <w:tc>
          <w:tcPr>
            <w:tcW w:w="874" w:type="dxa"/>
            <w:shd w:val="clear" w:color="auto" w:fill="FFFFFF"/>
          </w:tcPr>
          <w:p w:rsidR="00521726" w:rsidRPr="00D33458" w:rsidRDefault="00D33458" w:rsidP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60" w:lineRule="exact"/>
              <w:rPr>
                <w:b/>
              </w:rPr>
            </w:pPr>
            <w:r w:rsidRPr="00D33458">
              <w:rPr>
                <w:rStyle w:val="8pt"/>
              </w:rPr>
              <w:t xml:space="preserve"> </w:t>
            </w:r>
          </w:p>
        </w:tc>
        <w:tc>
          <w:tcPr>
            <w:tcW w:w="3696" w:type="dxa"/>
            <w:shd w:val="clear" w:color="auto" w:fill="FFFFFF"/>
          </w:tcPr>
          <w:p w:rsidR="00521726" w:rsidRPr="00D33458" w:rsidRDefault="00D33458" w:rsidP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  <w:rPr>
                <w:b/>
              </w:rPr>
            </w:pPr>
            <w:r w:rsidRPr="00D33458">
              <w:rPr>
                <w:b/>
              </w:rPr>
              <w:t>ООО ППО Серж</w:t>
            </w:r>
          </w:p>
        </w:tc>
        <w:tc>
          <w:tcPr>
            <w:tcW w:w="763" w:type="dxa"/>
            <w:shd w:val="clear" w:color="auto" w:fill="FFFFFF"/>
          </w:tcPr>
          <w:p w:rsidR="00521726" w:rsidRDefault="00521726">
            <w:pPr>
              <w:framePr w:w="5333" w:wrap="notBeside" w:vAnchor="text" w:hAnchor="text" w:y="1"/>
              <w:rPr>
                <w:sz w:val="10"/>
                <w:szCs w:val="10"/>
              </w:rPr>
            </w:pPr>
          </w:p>
        </w:tc>
      </w:tr>
      <w:tr w:rsidR="00521726">
        <w:trPr>
          <w:trHeight w:hRule="exact" w:val="499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Адрес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after="60" w:line="140" w:lineRule="exact"/>
              <w:ind w:left="60"/>
            </w:pPr>
            <w:r>
              <w:rPr>
                <w:rStyle w:val="a5"/>
              </w:rPr>
              <w:t>630005, Новосибирская обл,</w:t>
            </w:r>
          </w:p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60" w:line="140" w:lineRule="exact"/>
              <w:ind w:left="60"/>
            </w:pPr>
            <w:r>
              <w:rPr>
                <w:rStyle w:val="a5"/>
              </w:rPr>
              <w:t>Новосибирск г, Николая Островского ул, 49,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Адрес</w:t>
            </w:r>
          </w:p>
        </w:tc>
      </w:tr>
      <w:tr w:rsidR="00521726">
        <w:trPr>
          <w:trHeight w:hRule="exact" w:val="187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р/с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40702810500250770364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р/с</w:t>
            </w:r>
          </w:p>
        </w:tc>
      </w:tr>
      <w:tr w:rsidR="00521726">
        <w:trPr>
          <w:trHeight w:hRule="exact" w:val="197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к/с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30101810445250000360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Банк</w:t>
            </w:r>
          </w:p>
        </w:tc>
      </w:tr>
      <w:tr w:rsidR="00521726">
        <w:trPr>
          <w:trHeight w:hRule="exact" w:val="202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Банк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Филиал "Корпоративный" ПАО "Совкомбанк"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БИК</w:t>
            </w:r>
          </w:p>
        </w:tc>
      </w:tr>
      <w:tr w:rsidR="00521726">
        <w:trPr>
          <w:trHeight w:hRule="exact" w:val="197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БИК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044525360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ИНН</w:t>
            </w:r>
          </w:p>
        </w:tc>
      </w:tr>
      <w:tr w:rsidR="00521726">
        <w:trPr>
          <w:trHeight w:hRule="exact" w:val="202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ИНН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5406654324/540601001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ОКПО</w:t>
            </w:r>
          </w:p>
        </w:tc>
      </w:tr>
      <w:tr w:rsidR="00521726">
        <w:trPr>
          <w:trHeight w:hRule="exact" w:val="197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ОКПО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69808419</w:t>
            </w:r>
          </w:p>
        </w:tc>
        <w:tc>
          <w:tcPr>
            <w:tcW w:w="763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a5"/>
              </w:rPr>
              <w:t>Тел.</w:t>
            </w:r>
          </w:p>
        </w:tc>
      </w:tr>
      <w:tr w:rsidR="00521726">
        <w:trPr>
          <w:trHeight w:hRule="exact" w:val="206"/>
        </w:trPr>
        <w:tc>
          <w:tcPr>
            <w:tcW w:w="874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40"/>
            </w:pPr>
            <w:r>
              <w:rPr>
                <w:rStyle w:val="a5"/>
              </w:rPr>
              <w:t>Тел.</w:t>
            </w:r>
          </w:p>
        </w:tc>
        <w:tc>
          <w:tcPr>
            <w:tcW w:w="3696" w:type="dxa"/>
            <w:shd w:val="clear" w:color="auto" w:fill="FFFFFF"/>
          </w:tcPr>
          <w:p w:rsidR="00521726" w:rsidRDefault="00D33458">
            <w:pPr>
              <w:pStyle w:val="1"/>
              <w:framePr w:w="5333" w:wrap="notBeside" w:vAnchor="text" w:hAnchor="text" w:y="1"/>
              <w:shd w:val="clear" w:color="auto" w:fill="auto"/>
              <w:spacing w:before="0" w:line="140" w:lineRule="exact"/>
              <w:ind w:left="60"/>
            </w:pPr>
            <w:r>
              <w:rPr>
                <w:rStyle w:val="a5"/>
              </w:rPr>
              <w:t>207-57-49, 2-559-569</w:t>
            </w:r>
          </w:p>
        </w:tc>
        <w:tc>
          <w:tcPr>
            <w:tcW w:w="763" w:type="dxa"/>
            <w:shd w:val="clear" w:color="auto" w:fill="FFFFFF"/>
          </w:tcPr>
          <w:p w:rsidR="00521726" w:rsidRDefault="00521726">
            <w:pPr>
              <w:framePr w:w="533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21726" w:rsidRDefault="00521726">
      <w:pPr>
        <w:rPr>
          <w:sz w:val="2"/>
          <w:szCs w:val="2"/>
        </w:rPr>
      </w:pPr>
    </w:p>
    <w:p w:rsidR="00521726" w:rsidRDefault="00521726">
      <w:pPr>
        <w:rPr>
          <w:sz w:val="2"/>
          <w:szCs w:val="2"/>
        </w:rPr>
        <w:sectPr w:rsidR="00521726">
          <w:type w:val="continuous"/>
          <w:pgSz w:w="11909" w:h="16838"/>
          <w:pgMar w:top="591" w:right="729" w:bottom="591" w:left="753" w:header="0" w:footer="3" w:gutter="0"/>
          <w:cols w:space="720"/>
          <w:noEndnote/>
          <w:docGrid w:linePitch="360"/>
        </w:sectPr>
      </w:pPr>
    </w:p>
    <w:p w:rsidR="00B84641" w:rsidRDefault="00D33458" w:rsidP="00B84641">
      <w:pPr>
        <w:pStyle w:val="20"/>
        <w:shd w:val="clear" w:color="auto" w:fill="auto"/>
        <w:spacing w:line="150" w:lineRule="exact"/>
        <w:ind w:left="10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3747770</wp:posOffset>
                </wp:positionH>
                <wp:positionV relativeFrom="paragraph">
                  <wp:posOffset>3175</wp:posOffset>
                </wp:positionV>
                <wp:extent cx="937895" cy="139065"/>
                <wp:effectExtent l="635" t="1905" r="4445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26" w:rsidRDefault="00B8464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ЗАКАЗЧИК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5.1pt;margin-top:.25pt;width:73.85pt;height:10.9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vkrw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" filled="f" stroked="f">
                <v:textbox inset="0,0,0,0">
                  <w:txbxContent>
                    <w:p w:rsidR="00521726" w:rsidRDefault="00B84641">
                      <w:pPr>
                        <w:pStyle w:val="20"/>
                        <w:shd w:val="clear" w:color="auto" w:fill="auto"/>
                        <w:spacing w:line="15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ЗАКАЗЧИК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1515110</wp:posOffset>
                </wp:positionH>
                <wp:positionV relativeFrom="paragraph">
                  <wp:posOffset>3175</wp:posOffset>
                </wp:positionV>
                <wp:extent cx="840105" cy="95250"/>
                <wp:effectExtent l="0" t="1905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726" w:rsidRDefault="00D33458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/Шаталов С.Г.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9.3pt;margin-top:.25pt;width:66.15pt;height:7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" filled="f" stroked="f">
                <v:textbox style="mso-fit-shape-to-text:t" inset="0,0,0,0">
                  <w:txbxContent>
                    <w:p w:rsidR="00521726" w:rsidRDefault="00D33458">
                      <w:pPr>
                        <w:pStyle w:val="20"/>
                        <w:shd w:val="clear" w:color="auto" w:fill="auto"/>
                        <w:spacing w:line="15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/Шаталов С.Г.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41">
        <w:t xml:space="preserve"> </w:t>
      </w:r>
      <w:r w:rsidR="00B84641">
        <w:rPr>
          <w:rStyle w:val="2Exact"/>
          <w:b/>
          <w:bCs/>
          <w:spacing w:val="0"/>
        </w:rPr>
        <w:t>ИСПОЛНИТЕЛЬ</w:t>
      </w:r>
    </w:p>
    <w:p w:rsidR="00521726" w:rsidRDefault="00521726">
      <w:pPr>
        <w:spacing w:line="477" w:lineRule="exact"/>
      </w:pPr>
    </w:p>
    <w:p w:rsidR="00521726" w:rsidRDefault="00521726">
      <w:pPr>
        <w:rPr>
          <w:sz w:val="2"/>
          <w:szCs w:val="2"/>
        </w:rPr>
      </w:pPr>
    </w:p>
    <w:sectPr w:rsidR="00521726">
      <w:type w:val="continuous"/>
      <w:pgSz w:w="11909" w:h="16838"/>
      <w:pgMar w:top="577" w:right="729" w:bottom="577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41" w:rsidRDefault="00B84641">
      <w:r>
        <w:separator/>
      </w:r>
    </w:p>
  </w:endnote>
  <w:endnote w:type="continuationSeparator" w:id="0">
    <w:p w:rsidR="00B84641" w:rsidRDefault="00B8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41" w:rsidRDefault="00B84641"/>
  </w:footnote>
  <w:footnote w:type="continuationSeparator" w:id="0">
    <w:p w:rsidR="00B84641" w:rsidRDefault="00B84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8C8"/>
    <w:multiLevelType w:val="multilevel"/>
    <w:tmpl w:val="851608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A2CCF"/>
    <w:multiLevelType w:val="multilevel"/>
    <w:tmpl w:val="99C6C44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579E7"/>
    <w:multiLevelType w:val="multilevel"/>
    <w:tmpl w:val="BCF81250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43142"/>
    <w:multiLevelType w:val="multilevel"/>
    <w:tmpl w:val="E3EA14B4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0290B"/>
    <w:multiLevelType w:val="multilevel"/>
    <w:tmpl w:val="9EA6B6F0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90223"/>
    <w:multiLevelType w:val="multilevel"/>
    <w:tmpl w:val="67DCD6C2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2D4E92"/>
    <w:multiLevelType w:val="multilevel"/>
    <w:tmpl w:val="E6A628AC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CF00F0"/>
    <w:multiLevelType w:val="multilevel"/>
    <w:tmpl w:val="475C26E8"/>
    <w:lvl w:ilvl="0">
      <w:start w:val="5"/>
      <w:numFmt w:val="decimal"/>
      <w:lvlText w:val="3.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0495D"/>
    <w:multiLevelType w:val="multilevel"/>
    <w:tmpl w:val="79D424A2"/>
    <w:lvl w:ilvl="0">
      <w:start w:val="1"/>
      <w:numFmt w:val="decimal"/>
      <w:lvlText w:val="1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03753"/>
    <w:multiLevelType w:val="multilevel"/>
    <w:tmpl w:val="37DEA98C"/>
    <w:lvl w:ilvl="0">
      <w:start w:val="3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310DB7"/>
    <w:multiLevelType w:val="multilevel"/>
    <w:tmpl w:val="D032C70A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00020"/>
    <w:multiLevelType w:val="multilevel"/>
    <w:tmpl w:val="DC2AC19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26"/>
    <w:rsid w:val="00521726"/>
    <w:rsid w:val="00575934"/>
    <w:rsid w:val="008662CA"/>
    <w:rsid w:val="00942A17"/>
    <w:rsid w:val="00B84641"/>
    <w:rsid w:val="00C76AC0"/>
    <w:rsid w:val="00D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AD90"/>
  <w15:docId w15:val="{57C4863D-435C-400C-ABA1-3983B1E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pt">
    <w:name w:val="Основной текст + 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50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ÐflÐ¾Ð³. Ð¾Ð± Ð¾Ñ–Ñ•Ð°Ð½Ðµ 003781 (19.09.22</vt:lpstr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ÐflÐ¾Ð³. Ð¾Ð± Ð¾Ñ–Ñ•Ð°Ð½Ðµ 003781 (19.09.22</dc:title>
  <dc:subject/>
  <dc:creator>om</dc:creator>
  <cp:keywords/>
  <cp:lastModifiedBy>om</cp:lastModifiedBy>
  <cp:revision>5</cp:revision>
  <dcterms:created xsi:type="dcterms:W3CDTF">2022-09-28T08:49:00Z</dcterms:created>
  <dcterms:modified xsi:type="dcterms:W3CDTF">2022-09-28T09:10:00Z</dcterms:modified>
</cp:coreProperties>
</file>